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宋体" w:hAnsi="宋体" w:eastAsia="宋体" w:cs="宋体"/>
          <w:b/>
          <w:bCs/>
          <w:kern w:val="0"/>
          <w:sz w:val="44"/>
          <w:szCs w:val="44"/>
          <w:lang w:val="en-US" w:eastAsia="zh-CN" w:bidi="ar"/>
        </w:rPr>
      </w:pPr>
    </w:p>
    <w:p>
      <w:pPr>
        <w:ind w:left="0" w:leftChars="0" w:firstLine="0" w:firstLineChars="0"/>
        <w:jc w:val="center"/>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学习参考材料（二）</w:t>
      </w:r>
    </w:p>
    <w:sdt>
      <w:sdtPr>
        <w:rPr>
          <w:rFonts w:ascii="宋体" w:hAnsi="宋体" w:eastAsia="宋体" w:cstheme="minorBidi"/>
          <w:b/>
          <w:bCs/>
          <w:kern w:val="2"/>
          <w:sz w:val="44"/>
          <w:szCs w:val="44"/>
          <w:lang w:val="en-US" w:eastAsia="zh-CN" w:bidi="ar-SA"/>
        </w:rPr>
        <w:id w:val="147480747"/>
        <w15:color w:val="DBDBDB"/>
        <w:docPartObj>
          <w:docPartGallery w:val="Table of Contents"/>
          <w:docPartUnique/>
        </w:docPartObj>
      </w:sdtPr>
      <w:sdtEndPr>
        <w:rPr>
          <w:rFonts w:asciiTheme="majorEastAsia" w:hAnsiTheme="majorEastAsia" w:eastAsiaTheme="majorEastAsia" w:cstheme="majorEastAsia"/>
          <w:b/>
          <w:bCs/>
          <w:kern w:val="2"/>
          <w:sz w:val="24"/>
          <w:szCs w:val="28"/>
          <w:lang w:val="en-US" w:eastAsia="zh-CN" w:bidi="ar"/>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目录</w:t>
          </w:r>
        </w:p>
        <w:p>
          <w:pPr>
            <w:pStyle w:val="8"/>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sz w:val="32"/>
              <w:szCs w:val="32"/>
              <w:lang w:bidi="ar"/>
            </w:rPr>
            <w:fldChar w:fldCharType="begin"/>
          </w:r>
          <w:r>
            <w:rPr>
              <w:rFonts w:hint="eastAsia" w:ascii="宋体" w:hAnsi="宋体" w:eastAsia="宋体" w:cs="宋体"/>
              <w:sz w:val="32"/>
              <w:szCs w:val="32"/>
              <w:lang w:bidi="ar"/>
            </w:rPr>
            <w:instrText xml:space="preserve">TOC \o "1-2" \h \u </w:instrText>
          </w:r>
          <w:r>
            <w:rPr>
              <w:rFonts w:hint="eastAsia" w:ascii="宋体" w:hAnsi="宋体" w:eastAsia="宋体" w:cs="宋体"/>
              <w:sz w:val="32"/>
              <w:szCs w:val="32"/>
              <w:lang w:bidi="ar"/>
            </w:rPr>
            <w:fldChar w:fldCharType="separate"/>
          </w:r>
          <w:bookmarkStart w:id="11" w:name="_GoBack"/>
          <w:r>
            <w:rPr>
              <w:rFonts w:hint="eastAsia" w:ascii="宋体" w:hAnsi="宋体" w:eastAsia="宋体" w:cs="宋体"/>
              <w:sz w:val="30"/>
              <w:szCs w:val="30"/>
              <w:lang w:bidi="ar"/>
            </w:rPr>
            <w:fldChar w:fldCharType="begin"/>
          </w:r>
          <w:r>
            <w:rPr>
              <w:rFonts w:hint="eastAsia" w:ascii="宋体" w:hAnsi="宋体" w:eastAsia="宋体" w:cs="宋体"/>
              <w:sz w:val="30"/>
              <w:szCs w:val="30"/>
              <w:lang w:bidi="ar"/>
            </w:rPr>
            <w:instrText xml:space="preserve"> HYPERLINK \l _Toc16475 </w:instrText>
          </w:r>
          <w:r>
            <w:rPr>
              <w:rFonts w:hint="eastAsia" w:ascii="宋体" w:hAnsi="宋体" w:eastAsia="宋体" w:cs="宋体"/>
              <w:sz w:val="30"/>
              <w:szCs w:val="30"/>
              <w:lang w:bidi="ar"/>
            </w:rPr>
            <w:fldChar w:fldCharType="separate"/>
          </w:r>
          <w:r>
            <w:rPr>
              <w:rFonts w:hint="eastAsia" w:ascii="宋体" w:hAnsi="宋体" w:eastAsia="宋体" w:cs="宋体"/>
              <w:sz w:val="30"/>
              <w:szCs w:val="30"/>
              <w:lang w:val="en-US" w:eastAsia="zh-CN"/>
            </w:rPr>
            <w:t xml:space="preserve">教育部关于在教育系统开展师德专题教育的通知 </w:t>
          </w:r>
          <w:r>
            <w:rPr>
              <w:rFonts w:hint="eastAsia" w:ascii="宋体" w:hAnsi="宋体" w:eastAsia="宋体" w:cs="宋体"/>
              <w:kern w:val="0"/>
              <w:sz w:val="30"/>
              <w:szCs w:val="30"/>
              <w:lang w:val="en-US" w:eastAsia="zh-CN" w:bidi="ar"/>
            </w:rPr>
            <w:t>教师函〔2021〕3号</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_Toc16475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lang w:bidi="ar"/>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sz w:val="30"/>
              <w:szCs w:val="30"/>
              <w:lang w:bidi="ar"/>
            </w:rPr>
            <w:fldChar w:fldCharType="begin"/>
          </w:r>
          <w:r>
            <w:rPr>
              <w:rFonts w:hint="eastAsia" w:ascii="宋体" w:hAnsi="宋体" w:eastAsia="宋体" w:cs="宋体"/>
              <w:sz w:val="30"/>
              <w:szCs w:val="30"/>
              <w:lang w:bidi="ar"/>
            </w:rPr>
            <w:instrText xml:space="preserve"> HYPERLINK \l _Toc14830 </w:instrText>
          </w:r>
          <w:r>
            <w:rPr>
              <w:rFonts w:hint="eastAsia" w:ascii="宋体" w:hAnsi="宋体" w:eastAsia="宋体" w:cs="宋体"/>
              <w:sz w:val="30"/>
              <w:szCs w:val="30"/>
              <w:lang w:bidi="ar"/>
            </w:rPr>
            <w:fldChar w:fldCharType="separate"/>
          </w:r>
          <w:r>
            <w:rPr>
              <w:rFonts w:hint="eastAsia" w:ascii="宋体" w:hAnsi="宋体" w:eastAsia="宋体" w:cs="宋体"/>
              <w:sz w:val="30"/>
              <w:szCs w:val="30"/>
            </w:rPr>
            <w:t>教育部强化师德专题教育:遵师德规范 守师德底线融入日常</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_Toc14830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sz w:val="30"/>
              <w:szCs w:val="30"/>
              <w:lang w:bidi="ar"/>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sz w:val="30"/>
              <w:szCs w:val="30"/>
              <w:lang w:bidi="ar"/>
            </w:rPr>
            <w:fldChar w:fldCharType="begin"/>
          </w:r>
          <w:r>
            <w:rPr>
              <w:rFonts w:hint="eastAsia" w:ascii="宋体" w:hAnsi="宋体" w:eastAsia="宋体" w:cs="宋体"/>
              <w:sz w:val="30"/>
              <w:szCs w:val="30"/>
              <w:lang w:bidi="ar"/>
            </w:rPr>
            <w:instrText xml:space="preserve"> HYPERLINK \l _Toc11339 </w:instrText>
          </w:r>
          <w:r>
            <w:rPr>
              <w:rFonts w:hint="eastAsia" w:ascii="宋体" w:hAnsi="宋体" w:eastAsia="宋体" w:cs="宋体"/>
              <w:sz w:val="30"/>
              <w:szCs w:val="30"/>
              <w:lang w:bidi="ar"/>
            </w:rPr>
            <w:fldChar w:fldCharType="separate"/>
          </w:r>
          <w:r>
            <w:rPr>
              <w:rFonts w:hint="eastAsia" w:ascii="宋体" w:hAnsi="宋体" w:eastAsia="宋体" w:cs="宋体"/>
              <w:sz w:val="30"/>
              <w:szCs w:val="30"/>
            </w:rPr>
            <w:t>以专业化师德师风建设回应社会期待</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_Toc11339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lang w:bidi="ar"/>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sz w:val="30"/>
              <w:szCs w:val="30"/>
              <w:lang w:bidi="ar"/>
            </w:rPr>
            <w:fldChar w:fldCharType="begin"/>
          </w:r>
          <w:r>
            <w:rPr>
              <w:rFonts w:hint="eastAsia" w:ascii="宋体" w:hAnsi="宋体" w:eastAsia="宋体" w:cs="宋体"/>
              <w:sz w:val="30"/>
              <w:szCs w:val="30"/>
              <w:lang w:bidi="ar"/>
            </w:rPr>
            <w:instrText xml:space="preserve"> HYPERLINK \l _Toc12771 </w:instrText>
          </w:r>
          <w:r>
            <w:rPr>
              <w:rFonts w:hint="eastAsia" w:ascii="宋体" w:hAnsi="宋体" w:eastAsia="宋体" w:cs="宋体"/>
              <w:sz w:val="30"/>
              <w:szCs w:val="30"/>
              <w:lang w:bidi="ar"/>
            </w:rPr>
            <w:fldChar w:fldCharType="separate"/>
          </w:r>
          <w:r>
            <w:rPr>
              <w:rFonts w:hint="eastAsia" w:ascii="宋体" w:hAnsi="宋体" w:eastAsia="宋体" w:cs="宋体"/>
              <w:sz w:val="30"/>
              <w:szCs w:val="30"/>
            </w:rPr>
            <w:t>锤炼新时代人民教师高尚师德</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_Toc12771 \h </w:instrText>
          </w:r>
          <w:r>
            <w:rPr>
              <w:rFonts w:hint="eastAsia" w:ascii="宋体" w:hAnsi="宋体" w:eastAsia="宋体" w:cs="宋体"/>
              <w:sz w:val="30"/>
              <w:szCs w:val="30"/>
            </w:rPr>
            <w:fldChar w:fldCharType="separate"/>
          </w:r>
          <w:r>
            <w:rPr>
              <w:rFonts w:hint="eastAsia" w:ascii="宋体" w:hAnsi="宋体" w:eastAsia="宋体" w:cs="宋体"/>
              <w:sz w:val="30"/>
              <w:szCs w:val="30"/>
            </w:rPr>
            <w:t>9</w:t>
          </w:r>
          <w:r>
            <w:rPr>
              <w:rFonts w:hint="eastAsia" w:ascii="宋体" w:hAnsi="宋体" w:eastAsia="宋体" w:cs="宋体"/>
              <w:sz w:val="30"/>
              <w:szCs w:val="30"/>
            </w:rPr>
            <w:fldChar w:fldCharType="end"/>
          </w:r>
          <w:r>
            <w:rPr>
              <w:rFonts w:hint="eastAsia" w:ascii="宋体" w:hAnsi="宋体" w:eastAsia="宋体" w:cs="宋体"/>
              <w:sz w:val="30"/>
              <w:szCs w:val="30"/>
              <w:lang w:bidi="ar"/>
            </w:rPr>
            <w:fldChar w:fldCharType="end"/>
          </w:r>
        </w:p>
        <w:p>
          <w:pPr>
            <w:pStyle w:val="7"/>
            <w:tabs>
              <w:tab w:val="right" w:leader="dot" w:pos="8306"/>
            </w:tabs>
            <w:ind w:left="0" w:leftChars="0" w:firstLine="0" w:firstLineChars="0"/>
          </w:pPr>
          <w:r>
            <w:rPr>
              <w:rFonts w:hint="eastAsia" w:ascii="宋体" w:hAnsi="宋体" w:eastAsia="宋体" w:cs="宋体"/>
              <w:sz w:val="30"/>
              <w:szCs w:val="30"/>
              <w:lang w:bidi="ar"/>
            </w:rPr>
            <w:fldChar w:fldCharType="begin"/>
          </w:r>
          <w:r>
            <w:rPr>
              <w:rFonts w:hint="eastAsia" w:ascii="宋体" w:hAnsi="宋体" w:eastAsia="宋体" w:cs="宋体"/>
              <w:sz w:val="30"/>
              <w:szCs w:val="30"/>
              <w:lang w:bidi="ar"/>
            </w:rPr>
            <w:instrText xml:space="preserve"> HYPERLINK \l _Toc23871 </w:instrText>
          </w:r>
          <w:r>
            <w:rPr>
              <w:rFonts w:hint="eastAsia" w:ascii="宋体" w:hAnsi="宋体" w:eastAsia="宋体" w:cs="宋体"/>
              <w:sz w:val="30"/>
              <w:szCs w:val="30"/>
              <w:lang w:bidi="ar"/>
            </w:rPr>
            <w:fldChar w:fldCharType="separate"/>
          </w:r>
          <w:r>
            <w:rPr>
              <w:rFonts w:hint="eastAsia" w:ascii="宋体" w:hAnsi="宋体" w:eastAsia="宋体" w:cs="宋体"/>
              <w:sz w:val="30"/>
              <w:szCs w:val="30"/>
            </w:rPr>
            <w:t>大家手笔：师德与师能齐抓共进</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_Toc23871 \h </w:instrText>
          </w:r>
          <w:r>
            <w:rPr>
              <w:rFonts w:hint="eastAsia" w:ascii="宋体" w:hAnsi="宋体" w:eastAsia="宋体" w:cs="宋体"/>
              <w:sz w:val="30"/>
              <w:szCs w:val="30"/>
            </w:rPr>
            <w:fldChar w:fldCharType="separate"/>
          </w:r>
          <w:r>
            <w:rPr>
              <w:rFonts w:hint="eastAsia" w:ascii="宋体" w:hAnsi="宋体" w:eastAsia="宋体" w:cs="宋体"/>
              <w:sz w:val="30"/>
              <w:szCs w:val="30"/>
            </w:rPr>
            <w:t>13</w:t>
          </w:r>
          <w:r>
            <w:rPr>
              <w:rFonts w:hint="eastAsia" w:ascii="宋体" w:hAnsi="宋体" w:eastAsia="宋体" w:cs="宋体"/>
              <w:sz w:val="30"/>
              <w:szCs w:val="30"/>
            </w:rPr>
            <w:fldChar w:fldCharType="end"/>
          </w:r>
          <w:r>
            <w:rPr>
              <w:rFonts w:hint="eastAsia" w:ascii="宋体" w:hAnsi="宋体" w:eastAsia="宋体" w:cs="宋体"/>
              <w:sz w:val="30"/>
              <w:szCs w:val="30"/>
              <w:lang w:bidi="ar"/>
            </w:rPr>
            <w:fldChar w:fldCharType="end"/>
          </w:r>
          <w:bookmarkEnd w:id="11"/>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ajorEastAsia" w:hAnsiTheme="majorEastAsia" w:eastAsiaTheme="majorEastAsia" w:cstheme="majorEastAsia"/>
              <w:szCs w:val="28"/>
              <w:lang w:bidi="ar"/>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szCs w:val="32"/>
              <w:lang w:bidi="ar"/>
            </w:rPr>
            <w:fldChar w:fldCharType="end"/>
          </w:r>
        </w:p>
      </w:sdtContent>
    </w:sdt>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0" w:firstLineChars="0"/>
        <w:jc w:val="center"/>
        <w:textAlignment w:val="auto"/>
        <w:outlineLvl w:val="1"/>
        <w:rPr>
          <w:rFonts w:hint="eastAsia" w:ascii="宋体" w:hAnsi="宋体" w:eastAsia="宋体" w:cs="宋体"/>
          <w:kern w:val="0"/>
          <w:sz w:val="24"/>
          <w:szCs w:val="24"/>
          <w:lang w:val="en-US" w:eastAsia="zh-CN" w:bidi="ar"/>
        </w:rPr>
      </w:pPr>
      <w:bookmarkStart w:id="0" w:name="_Toc3594"/>
      <w:bookmarkStart w:id="1" w:name="_Toc16475"/>
      <w:bookmarkStart w:id="2" w:name="_Toc72172296"/>
      <w:bookmarkStart w:id="3" w:name="_Toc2818"/>
      <w:r>
        <w:rPr>
          <w:rStyle w:val="30"/>
          <w:rFonts w:hint="eastAsia"/>
          <w:lang w:val="en-US" w:eastAsia="zh-CN"/>
        </w:rPr>
        <w:t>教育部关于在教育系统开展师德专题教育的通知</w:t>
      </w:r>
      <w:r>
        <w:rPr>
          <w:rStyle w:val="30"/>
          <w:rFonts w:hint="eastAsia"/>
          <w:lang w:val="en-US" w:eastAsia="zh-CN"/>
        </w:rPr>
        <w:br w:type="textWrapping"/>
      </w:r>
      <w:r>
        <w:rPr>
          <w:rFonts w:hint="eastAsia" w:ascii="宋体" w:hAnsi="宋体" w:eastAsia="宋体" w:cs="宋体"/>
          <w:kern w:val="0"/>
          <w:sz w:val="24"/>
          <w:szCs w:val="24"/>
          <w:lang w:val="en-US" w:eastAsia="zh-CN" w:bidi="ar"/>
        </w:rPr>
        <w:t>教师函〔2021〕3号</w:t>
      </w:r>
      <w:bookmarkEnd w:id="0"/>
      <w:bookmarkEnd w:id="1"/>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各省、自治区、直辖市教育厅（教委），新疆生产建设兵团教育局，有关部门（单位）教育司（局），部属各高等学校、部省合建各高等学校：</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为全面贯彻习近平总书记关于教育的重要论述和全国教育大会精神，深入落实《中共中央 国务院关于全面深化新时代教师队伍建设改革的意见》，推进实施教育部等七部门《关于加强和改进新时代师德师风建设的意见》，面向广大教师组织开展师德专题教育，强化以党史学习教育为重点的“四史”学习教育，引导广大教师坚定理想信念、厚植爱国情怀、涵养高尚师德，以为党育人、为国育才优异成绩庆祝中国共产党百年华诞。现就开展师德专题教育有关事宜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一、教育内容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组织深入学习习近平总书记关于师德师风的重要论述。组织各级各类教师深入学习贯彻习近平总书记关于“三个牢固树立”、“四有”好老师、“四个引路人”“四个相统一”“六要”等重要论述精神，进一步在学懂弄通做实上下功夫，内化于心、外化于行，学做融合养成行动自觉，增强“四个意识”，坚定“四个自信”，做到“两个维护”，弘扬高尚师德，潜心立德树人，以赤诚之心、奉献之心、仁爱之心投身教育事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强化教师“四史”学习教育。将“四史”学习作为广大教师思想政治“必修课”，结合建党百年系列庆祝活动，以党史学习教育为主线，强化“四史”学习教育。组织主题党日、“三会一课”、专题组织生活会等，通过丰富多彩的活动形式生动开展党史学习教育，引导广大党员教师、领导干部学史明理、学史增信、学史崇德、学史力行，发扬党的优良传统，积极为师生排忧解难。深入开展党史、新中国史、改革开放史、社会主义发展史教育，组织广大教师认真学习党领导人民进行艰苦卓绝的革命奋斗史、理论创新史和自身建设史，学习党的光荣传统、宝贵经验和伟大成就。用好红色资源开展学习教育，向教师推荐精品学习素材（包括电视纪录片《为了和平》、电视专题片《人民的小康》《百年风华》《红船》、电视剧《跨过鸭绿江》《山海情》及《光荣与梦想》《觉醒年代》《大决战》《功勋》等“献礼中国共产党成立100周年”重点剧目），用好优质培训资源，组织开展青年教师国情教育培训和高层次人才理想信念教育培训，拓展渠道、创新形式，充分激发教师学习内生动力，做到不忘历史、不忘初心，知史爱党、知史爱国。</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开展师德优秀典型先进事迹宣传学习。持续选树宣传教师优秀典型。指导各地各校教师深入学习“人民教育家”“时代楷模”、教书育人楷模、最美教师、优秀教师、模范教师的先进事迹，深入寻找挖掘并广泛宣传学习教育世家感人事迹。组织受表彰的教师先进典型、在乡村学校工作满30年的教师代表等深入本地本校教师中进行事迹宣讲、作师德专题报告，开展交流座谈等，面向广大教师生动讲好师德故事，用身边的榜样传递师德的力量。同时，通过组织教师观看优秀典型事迹纪录片和以优秀教师为原型创作的影视剧，如《黄大年》《李保国》《一生只为一事来》等，激励广大教师见贤思齐，引导广大教师从“被感动”到“见行动”，在教育系统掀起争做“四有”好老师的热潮。</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引导教师学习践行新时代师德规范。组织各级各类教师强化学习《新时代高校教师职业行为十项准则》《新时代中小学教师职业行为十项准则》《新时代幼儿园教师职业行为十项准则》，结合各地各校制定的教师职业行为负面清单和教师师德失范行为处理办法等文件，组织专家学者、中小学校长、高校二级学院（系）主要负责人在教师中开展准则的宣传解读和贯彻落实，帮助广大教师全面理解和准确把握准则内容，做到全员全覆盖、应知应会、必会必做。严格督促各级各类学校将学习准则作为必修内容，全面纳入新教师入职培训和在职教师日常培训，抓实学习督导和效果测评，确保每位教师知准则、守底线。</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集中开展师德警示教育。各地各校定期组织教师召开师德警示教育大会，高校可结合实际由各二级学院（系）组织，以教育部网站公开曝光的违反教师职业行为十项准则典型案例为反面教材，分类介绍师德违规问题和处理结果，引导教师以案为鉴；结合师德违规问题对照新时代教师职业行为十项准则强调课堂教学、关爱学生、师生关系、学术研究、社会活动等方面的正面规范和负面清单，引导教师以案明纪；学校、学院（系）出现师德违规问题的，要在会上详细通报师德违规问题及处理结果，组织教师讨论剖析原因、对照查摆自省，做到警钟长鸣。</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二、工作安排</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师德专题教育贯穿2021年全年，突出明师德要求、强“四史”教育、学师德楷模、遵师德规范、守师德底线，注重融入日常、抓在经常，系统组织、分类指导。</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动员部署（5月）。各省级教育行政部门、部属高校、部省合建高校组建师德专题教育领导小组，认真按照通知要求开展动员部署，明确意义和学习内容，统一思想、提高认识，结合实际制定方案，做到广泛动员、积极宣传、深入人心、全员参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2.督促检查（5月至11月）。教育部将结合教育督导、部党组高校巡视教师思想政治和师德师风建设工作专项检查等对各地各校师德专题教育开展情况和成效等进行督促检查。</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系统总结（7月、11月）。各省级教育行政部门、部属高校、部省合建高校于7月31日前，总结师德专题教育开展情况和阶段性成效，报送教育部（教师工作司）；于11月30日前，将师德专题教育总结，包括总体情况、开展形式、组织班次、学时要求、工作成效、特色案例、长效机制等，报送教育部教师工作司。</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三、组织领导</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高度重视统筹推进。提高政治站位，加强顶层设计，高度重视组织，将开展师德专题教育列入2021年工作要点，结合实际制定专题教育方案，严格按时推进。注重形式创新，明确具体要求，加强督促检查，及时总结成效，构建长效机制。详细制定“四史”学习教育推进方案，紧抓“党史学习教育”主线，指导各地各校按照“制定方案系统学、党员干部带头学、结合活动重点学、引导学生一起学”总体要求，组织广大教师开展有计划安排、有形式创新、有学时要求、有时间节点、有督促检查、有效果总结的系统化学习。突出工作重点，覆盖全体教师，力戒形式主义。</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教育引导协同推进。把师德专题教育与教师思想政治工作有机结合，切实提升广大教师政治素养和师德涵养。广泛组织教师特别是“75后”等中青年教师、新进教师、海外留学归国教师，在教研组、年级组、系（所）、基层党支部等范围内开展专题座谈研讨，交流体会、深化认识。同时，与学生思想政治工作深度融合，分类做好广大青少年学生和儿童的教育引导，学做融合、知行合一，立足教书育人一线践行弘扬高尚师德，为学生讲“四史”、与学生一起学“四史”、把“四史”内容作为课程思政的重要素材有机融入课堂教学。</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强化宣传有力推进。把牢正确的政治方向和舆论导向，通过校报校刊、广播电视、校园网络、橱窗板报、微信公众号、“学习强国”等校内外媒体平台，广泛宣传和及时报道师德专题教育开展情况和实效，充分展现新时代人民教师围绕立德树人强化师德教育，为党育人、为国育才的奋进风貌，营造庆祝建党百年华诞、建功立业谱写新篇的热烈氛围。</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育部教师工作司整理汇总了师德专题教育学习资料（电子版），包括《习近平总书记关于师德师风的重要论述摘编》《“四史”学习教育资料汇编》《师德优秀典型先进事迹》《新时代师德规范》《违反教师职业行为十项准则典型案例》等，供广大教师参考，相关资料可通过教育部门户网站和“中国教育发布”APP学习、下载。同时，在“学习强国”学习平台推荐、教育——教师栏目设置“师德师风教育”专区，整合汇聚学习资源，方便广大教师学习。各地各校可结合实际充分利用各类优质学习资源。</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right"/>
        <w:textAlignment w:val="auto"/>
        <w:rPr>
          <w:rFonts w:hint="eastAsia" w:ascii="宋体" w:hAnsi="宋体" w:eastAsia="宋体" w:cs="宋体"/>
          <w:kern w:val="0"/>
          <w:sz w:val="24"/>
          <w:szCs w:val="24"/>
          <w:lang w:val="en-US" w:eastAsia="zh-CN" w:bidi="ar"/>
        </w:rPr>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kern w:val="0"/>
          <w:sz w:val="24"/>
          <w:szCs w:val="24"/>
          <w:lang w:val="en-US" w:eastAsia="zh-CN" w:bidi="ar"/>
        </w:rPr>
        <w:t>教育部</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2021年4月29</w:t>
      </w:r>
    </w:p>
    <w:p>
      <w:pPr>
        <w:pStyle w:val="2"/>
        <w:bidi w:val="0"/>
        <w:rPr>
          <w:rFonts w:hint="default"/>
        </w:rPr>
      </w:pPr>
      <w:bookmarkStart w:id="4" w:name="_Toc14830"/>
      <w:r>
        <w:t>教育部强化师德专题教育:遵师德规范 守师德底线融入日常</w:t>
      </w:r>
      <w:bookmarkEnd w:id="2"/>
      <w:bookmarkEnd w:id="4"/>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jc w:val="center"/>
        <w:textAlignment w:val="auto"/>
      </w:pPr>
      <w:r>
        <w:t>2021-05-10 来源：新华网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ascii="宋体" w:hAnsi="宋体"/>
        </w:rPr>
      </w:pPr>
      <w:r>
        <w:rPr>
          <w:rFonts w:ascii="宋体" w:hAnsi="宋体"/>
        </w:rPr>
        <w:t>新华网北京5月10日电 据教育部网站消息，近日，教育部印发《关于在教育系统开展师德专题教育的通知》，引导广大教师坚定理想信念、厚植爱国情怀、涵养高尚师德，以为党育人、为国育才优异成绩庆祝中国共产党百年华诞。</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ascii="宋体" w:hAnsi="宋体"/>
        </w:rPr>
      </w:pPr>
      <w:r>
        <w:rPr>
          <w:rFonts w:ascii="宋体" w:hAnsi="宋体"/>
        </w:rPr>
        <w:t>《通知》强调，要组织各级各类教师深入学习习近平总书记关于“三个牢固树立”、“四有”好老师、“四个引路人”“四个相统一”“六要”等关于师德师风的重要论述，进一步在学懂弄通做实上下功夫。要将“四史”学习作为广大教师思想政治“必修课”，结合建党百年系列庆祝活动，以党史学习教育为重点，强化“四史”学习教育。要开展师德优秀典型先进事迹宣传学习，深入学习“人民教育家”“时代楷模”、教书育人楷模、最美教师、优秀教师、模范教师的先进事迹，组织受表彰的教师先进典型等深入本地本校教师中进行事迹宣讲。要引导教师学习践行新时代师德规范，强化学习《新时代高校教师职业行为十项准则》《新时代中小学教师职业行为十项准则》《新时代幼儿园教师职业行为十项准则》，结合各地各校制定的教师职业行为负面清单和教师师德失范行为处理办法等文件，帮助广大教师全面理解和准确把握准则内容，做到全员全覆盖、应知应会、必会必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ascii="宋体" w:hAnsi="宋体"/>
        </w:rPr>
      </w:pPr>
      <w:r>
        <w:rPr>
          <w:rFonts w:ascii="宋体" w:hAnsi="宋体"/>
        </w:rPr>
        <w:t>《通知》指出，各地各校要集中开展师德警示教育，定期组织教师召开师德警示教育大会，以教育部网站公开曝光的违反教师职业行为十项准则典型案例为反面教材，分类介绍师德违规问题和处理结果，引导教师以案为鉴。结合师德违规问题，对照教师职业行为十项准则，强调课堂教学、关爱学生、师生关系、学术研究、社会活动等方面的正面规范和负面清单，引导教师以案明纪。</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ascii="宋体" w:hAnsi="宋体"/>
        </w:rPr>
      </w:pPr>
      <w:r>
        <w:rPr>
          <w:rFonts w:ascii="宋体" w:hAnsi="宋体"/>
        </w:rPr>
        <w:t>《通知》明确，师德专题教育贯穿2021年全年，突出明师德要求、强“四史”教育、学师德楷模、遵师德规范、守师德底线，注重融入日常、抓在经常，系统组织、分类指导。各地各校要高度重视统筹推进，提高政治站位，加强顶层设计，高度重视组织，将开展师德专题教育列入2021年工作要点，结合实际制定专题教育方案，严格按时推进。把师德专题教育与教师思想政治工作有机结合，切实提升广大教师政治素养和师德涵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ascii="宋体" w:hAnsi="宋体"/>
        </w:rPr>
      </w:pPr>
      <w:r>
        <w:rPr>
          <w:rFonts w:ascii="宋体" w:hAnsi="宋体"/>
        </w:rPr>
        <w:t>《通知》要求，各地各校要把牢正确的政治方向和舆论导向，通过校报校刊等校内外媒体平台，广泛宣传和及时报道师德专题教育开展情况和实效，充分展现新时代人民教师为党育人、为国育才的奋进风貌，营造庆祝建党百年华诞、建功立业谱写新篇的热烈氛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ascii="宋体" w:hAnsi="宋体"/>
        </w:rPr>
      </w:pPr>
      <w:r>
        <w:rPr>
          <w:rFonts w:ascii="宋体" w:hAnsi="宋体"/>
        </w:rPr>
        <w:t>据悉，近日，教育部召开师德专题教育启动部署会，就各地各校认真抓好师德专题教育进行工作部署。为配合师德专题教育开展，教育部教师工作司整理汇总了师德专题教育学习资料，供广大教师下载和学习参考。相关资料可通过教育部门户网站和“中国教育发布”APP学习和下载。同时，在“学习强国”学习平台推荐、教育——教师栏目设置“师德师风教育”专区，整合汇聚学习资源，方便广大教师学习。</w:t>
      </w:r>
    </w:p>
    <w:p>
      <w:pPr>
        <w:spacing w:line="520" w:lineRule="exact"/>
        <w:ind w:firstLine="0" w:firstLineChars="0"/>
        <w:rPr>
          <w:rFonts w:ascii="宋体" w:hAnsi="宋体"/>
        </w:rPr>
        <w:sectPr>
          <w:pgSz w:w="11906" w:h="16838"/>
          <w:pgMar w:top="1440" w:right="1800" w:bottom="1440" w:left="1800" w:header="851" w:footer="992" w:gutter="0"/>
          <w:pgNumType w:fmt="decimal"/>
          <w:cols w:space="425" w:num="1"/>
          <w:docGrid w:type="lines" w:linePitch="312" w:charSpace="0"/>
        </w:sectPr>
      </w:pPr>
    </w:p>
    <w:p>
      <w:pPr>
        <w:pStyle w:val="2"/>
        <w:bidi w:val="0"/>
        <w:rPr>
          <w:rFonts w:hint="default"/>
        </w:rPr>
      </w:pPr>
      <w:bookmarkStart w:id="5" w:name="_Toc11339"/>
      <w:bookmarkStart w:id="6" w:name="_Toc72172297"/>
      <w:r>
        <w:t>以专业化师德师风建设回应社会期待</w:t>
      </w:r>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ascii="宋体" w:hAnsi="宋体"/>
        </w:rPr>
      </w:pPr>
      <w:r>
        <w:rPr>
          <w:rFonts w:hint="eastAsia" w:ascii="宋体" w:hAnsi="宋体"/>
        </w:rPr>
        <w:t>2021-</w:t>
      </w:r>
      <w:r>
        <w:rPr>
          <w:rFonts w:ascii="宋体" w:hAnsi="宋体"/>
        </w:rPr>
        <w:t>0</w:t>
      </w:r>
      <w:r>
        <w:rPr>
          <w:rFonts w:hint="eastAsia" w:ascii="宋体" w:hAnsi="宋体"/>
        </w:rPr>
        <w:t>1-07 来源：光明日报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有媒体援引教育部官方消息称，全国师德师风建设专家委员会日前成立，作为教育部聘请并领导的、指导全国师德师风建设工作的专家组织，该委员会属非常设学术机构，接受教育部的委托，开展师德师风建设领域研究、咨询、指导、服务等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2019年11月，教育部等七部门联合印发了《关于加强和改进新时代师德师风建设的意见》，其中提出，经过5年左右努力，基本建立起完备的师德师风建设制度体系和有效的师德师风建设长效机制。成立全国师德师风建设专家委员会，正是建立师德师风建设长效机制的重要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成立委员会的意义不言而喻，不过从我国有关部门设立的各类委员会的具体工作成效来看，确实存在一些委员会沦为“摆设”、搞形式主义等问题。对于新成立的全国师德师风建设专家委员会能否有效发挥作用这一问题，部分社会舆论显示出并不乐观的态度，也就不难理解。回应并消除部分质疑，恰是全国师德师风建设专家委员会首先需要面对的问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目前师德师风建设存在的核心问题是什么？不是缺建设师德师风的理念，而是缺落实。成立师德师风建设专家委员会，需要解决的正是师德师风建设如何落地的问题。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比如，禁止教师有偿兼职补课，这是重要的“师德红线”，然而在现实中，却一直难以切实落地，每年各地仍会出现教师有偿兼职补课的师德问题。如何破解这一难题？不少教育管理者和学校管理者强调“发现一起，严惩一起”，但治标不治本，根本还在于建立能够保障教师待遇及权利、明晰教师职责的教师管理新体系。如果不依法保障教师待遇，却要求教师履行更高的职责要求，师德建设就会沦为空泛的说教。</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在日、韩等国，公立中小学教师同样不得到校外机构兼职，但这不是师德要求而是法律规定。作为国家教育公务员的教师，在享有教育公务员相关待遇及权利后，必须履行相应职责。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围绕上述问题，进行有针对性的顶层设计，深入推进师德师风建设，是公众对这一新成立的专家委员会的期待。从教师职业这一角度来看，当前师德师风建设也存在法律规定和职业规范两者混淆的问题。如教师性骚扰、猥亵学生，这是法律问题，要在第一时间报警，纳入法律程序处理，追究当事教师法律责任，但现实中，不少地区及学校将这类问题作为师德问题处理，多以内部调查处理做结，这显然是对师德的矮化、对违法甚至犯罪行为的纵容。厘清法律问题、道德问题，让法律的归法律、道德的道德，这无疑也是专家委员会在具体工作中要努力推进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师德师风建设，说到底是教师的职业道德建设。而职业道德建设，必须基于职业属性，并发挥行业的作用。基于职业属性，就需要按照现代人力资源理念，加强对职业的保障，激发从业者的职业荣誉感。非如此，就难以建设崇高职业道德。发挥行业的作用，则是要建立教师专业共同体，由共同体按照教育伦理要求，提出职业伦理规范，这是在基本法律要求之上，对教师更高的职业道德要求。要实现以上这些，就要求专家委员会从教师职业出发，遵循教师职业发展规律，立足行业，推进建立得到教师共同体认可的教师职业规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概而言之，师德师风建设，是教师职业化、专业化发展的内在要求。因此，全国师德师风建设专家委员会也理应坚持职业化、专业化开展自身工作，以此回应舆论的关切，交出令公众满意的答卷。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rPr>
        <w:sectPr>
          <w:pgSz w:w="11906" w:h="16838"/>
          <w:pgMar w:top="1440" w:right="1800" w:bottom="1440" w:left="1800" w:header="851" w:footer="992" w:gutter="0"/>
          <w:pgNumType w:fmt="decimal"/>
          <w:cols w:space="425" w:num="1"/>
          <w:docGrid w:type="lines" w:linePitch="312" w:charSpace="0"/>
        </w:sectPr>
      </w:pPr>
    </w:p>
    <w:p>
      <w:pPr>
        <w:pStyle w:val="2"/>
        <w:bidi w:val="0"/>
        <w:rPr>
          <w:rFonts w:hint="default"/>
        </w:rPr>
      </w:pPr>
      <w:bookmarkStart w:id="7" w:name="_Toc12771"/>
      <w:bookmarkStart w:id="8" w:name="_Toc72172298"/>
      <w:r>
        <w:t>锤炼新时代人民教师高尚师德</w:t>
      </w:r>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ascii="宋体" w:hAnsi="宋体"/>
        </w:rPr>
      </w:pPr>
      <w:r>
        <w:rPr>
          <w:rFonts w:ascii="宋体" w:hAnsi="宋体"/>
        </w:rPr>
        <w:t>2019-10-16 作者：信思金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ascii="宋体" w:hAnsi="宋体"/>
        </w:rPr>
        <w:t>习近平总书记在党的十九大报告中指出：“加强师德师风建设，培养高素质教师队伍，倡导全社会尊师重教。”高等学校要切实把师德师风建设摆在教师队伍建设首要位置，锤炼新时代高校教师的高尚师德。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b/>
          <w:bCs/>
        </w:rPr>
      </w:pPr>
      <w:r>
        <w:rPr>
          <w:rFonts w:ascii="宋体" w:hAnsi="宋体"/>
          <w:b/>
          <w:bCs/>
        </w:rPr>
        <w:t>锤炼高尚师德是立德树人的必然要求教育是国之大计、党之大计</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宋体" w:hAnsi="宋体"/>
        </w:rPr>
      </w:pPr>
      <w:r>
        <w:rPr>
          <w:rFonts w:ascii="宋体" w:hAnsi="宋体"/>
        </w:rPr>
        <w:t>教师是立教之本、兴教之源。落实立德树人根本任务，离不开一批又一批好老师。党的十八大以来，习近平总书记对“四有”好老师和“四个引路人”等进行了深刻阐述，为建设新时代高素质教师队伍指明了方向。凡事德为先，师德是教师素质的首要标准，锤炼高尚师德是落实立德树人的必然要求。</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ascii="宋体" w:hAnsi="宋体"/>
        </w:rPr>
        <w:t>一方面，教育的社会性决定了一定社会的教育总是反映和服务于一定阶级的要求，决定了在不同社会或同一社会的不同历史阶段，教育的性质、目的、内容、甚至方法等各不相同。我国是中国共产党领导的社会主义国家，我们的教育是要培养德智体美劳全面发展的社会主义建设者和接班人，这就要求教师首先要讲政治明大德，坚定对马克思主义的信仰、对中国特色社会主义的信念、对实现中华民族伟大复兴中国梦的信心，把明道、信道、传道作为神圣使命，在以德立身、以德立学、以德施教、以德育德的过程中，塑造学生生命，开启学生智慧，实现立德树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ascii="宋体" w:hAnsi="宋体"/>
        </w:rPr>
        <w:t>另一方面，教育在本质上是教师和学生在知识、思想、情感、价值观等方面显性或隐性的交往过程。与人类一般物质生产活动不同，教育过程中学生所感受和体验到的不仅只有知识和技术，而且包括教师的理想信念、思维方式、生活态度等，“在学生眼里，老师是‘吐辞为经、举足为法’，一言一行都给学生以极大影响。教师思想政治状况具有很强的示范性”。在这个意义上，高尚师德是对学生产生积极教育作用的最重要因素，对青少年阶段这个人生的“拔节孕穗期”来说更是如此。</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ascii="宋体" w:hAnsi="宋体"/>
          <w:b/>
          <w:bCs/>
        </w:rPr>
      </w:pPr>
      <w:r>
        <w:rPr>
          <w:rFonts w:ascii="宋体" w:hAnsi="宋体"/>
          <w:b/>
          <w:bCs/>
        </w:rPr>
        <w:t>把握新时代高校教师高尚师德的核心要义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ascii="宋体" w:hAnsi="宋体"/>
        </w:rPr>
        <w:t>过硬的政治素质。教师承担着塑造灵魂、塑造生命和塑造新人的时代重任。把学生塑造成投身中国特色社会主义伟大事业的优秀人才，教师必须首先牢固树立中国特色社会主义理想信念，这是师德的源头活水，是落实立德树人根本任务的政治保证。高等学校是人才培养的重要阵地，是弘扬先进思想文化的前沿，在各种社会思潮涌起涌动涌现、思想观念多元多样多变的今天，高校已成为夺取意识形态话语权的前沿地带。因此，新时代高校教师的政治素质，首先体现为坚定的政治立场，要做到在各种噪声和杂音中始终坚定人民立场，并以此教育学生应该坚持什么、提倡什么、反对什么。其次体现为高超的政治能力，要做到善于从政治上看清问题、把准方向，引导学生在错综复杂的形势面前划清是非界限、澄清模糊认识，坚定正确方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ascii="宋体" w:hAnsi="宋体"/>
        </w:rPr>
        <w:t>无私的爱生情怀。爱是教育的灵魂，爱学生是教师投身教育事业的一种境界。当前，随着社会利益格局的深刻变化，出现了一些片面追求功利，甚至不择手段逐利的不良现象。新时代的高校教师，应该把爱作为从事教育工作的起点，做到爱岗爱生，无私奉献；应该把爱贯穿教育教学全过程、融入人才培养各环节，做到以无私的爱生情怀去关注学生的生命、情感、价值、信仰；应该用师之大爱去超越一切、激活一切，从而使学生的潜能充分发掘、学生的智慧充分启迪、学生的力量充分发挥；应该以仁爱之心教书育人、以大爱精神立德树人，让塑造灵魂、塑造生命、塑造新人的时代重任在教师对仁爱之德的践行中得以实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ascii="宋体" w:hAnsi="宋体"/>
        </w:rPr>
        <w:t>崇高的人格修为。教师的人格修为是师德的集中体现。人格具有力量，人格的力量能够润物无声地影响周围的人和事，乃至环境和社会。教师的人格修为，对学生是一种潜移默化的影响力和感染力，是生命对生命的一种灌溉、精神对精神的一种濡染，能够使教师在向学生传授知识的同时，时刻以强大的人格力量去影响和塑造学生的品格、品行、品位。大学生正处于价值观形成的重要时期，正处于扣好人生“第一粒扣子”的关键阶段，在此期间，教师以什么样的人格去面对学生、塑造学生，直接影响着学生具有什么样的德、成为什么样的人。新时代高校教师崇高的人格修为，应该体现为对立德树人使命的担当、对教书育人事业的追求、对“四有”好老师和“四个引路人”的践行，始终做到“学为人师、行为世范”，并以此影响和推动学生走向伟大和崇高。</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ascii="宋体" w:hAnsi="宋体"/>
          <w:b/>
          <w:bCs/>
        </w:rPr>
      </w:pPr>
      <w:r>
        <w:rPr>
          <w:rFonts w:ascii="宋体" w:hAnsi="宋体"/>
          <w:b/>
          <w:bCs/>
        </w:rPr>
        <w:t>把培育新时代高尚师德作为党委工程抓实抓好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ascii="宋体" w:hAnsi="宋体"/>
        </w:rPr>
        <w:t>思想是行动的指南。高校党委要把习近平新时代中国特色社会主义思想，特别是总书记关于教育的重要论述，作为新时代人民教师立师德、铸师魂的思想之源、理论之基，以此引领广大教师筑牢信仰之基、补足精神之钙，坚守教育报国初心、勇担立德树人使命。要引领广大教师全面系统学、及时跟进学、联系实际学，带着责任学、带着问题学、融会贯通学，在原汁原味深读精读、逐字逐句细研细悟中，领悟教育教学工作与国家富强、民族复兴之间的内在关联，感悟教书育人事业的崇高与辉煌，体悟立德树人使命的伟大与神圣，以此内化为新时代高校教师的高尚师德，进而通过言传身教在学生心灵播下真善美的种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ascii="宋体" w:hAnsi="宋体"/>
        </w:rPr>
        <w:t>坚持统筹推进，着力构建新时代价值引领下的师德培育体系。师德培育是一项系统工程。高校党委要注重顶层设计，完善体制机制，强化制度保障，通过建立健全师德建设长效机制、完善师德考评与奖励机制、制定师德失范行为查处机制等，形成一套涵盖师德建设、师德考核与激励、师德失范监督与惩处等全领域的制度规范，让师德培育有据可依。要注重联系实际，坚持问题导向，丰富形式载体，深入调研和梳理教师对于教育教学工作在认识、思想、情感、价值等方面存在的倾向性和苗头性问题，通过理论培训、团队研讨、实践体悟等形式，以及主题活动、榜样典型、基层文化等载体，构建一套贯穿教师入职到退休全生命周期的方式方法，让师德培育有法可循。要注重上下联动，加强组织实施，拓宽渠道途径，充分发挥学校各级党组织教育管理监督教师党员和组织宣传凝聚教师的功能作用，将师德建设与教师教育教学结合起来，与教师自我成长结合起来，与基层组织建设结合起来，通过“党委抓课堂工程”“旗帜领航卓越人生工程”“创先争优”活动等举措，让师德培育落地见效。</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ascii="宋体" w:hAnsi="宋体"/>
        </w:rPr>
        <w:t>坚持守正传承，着力营造涵养高尚师德的文化氛围。文化塑造人，教师的高尚师德离不开文化氛围的熏陶。高校党委要牢牢坚持正确舆论导向，自觉承担好举旗帜、聚民心、育新人、兴文化、展形象的使命任务，以此引领教师在理想信念、价值理念、道德观念上坚守正确方向，营造涵养高尚师德的思想文化氛围。要创新推动网络支持系统建设，综合运用新媒体、融媒体唱响师德主旋律，避免不良网络文化和思想对师德师风的负面影响，营造涵养高尚师德的网络文化氛围。要大力选树师德榜样，评选表彰师德模范、师德先进集体，结合学校特色探索开展一系列新时代师德宣教活动，宣传好师德典型、讲述好师德故事，营造涵养高尚师德的榜样文化氛围。要大力弘扬新时代师道尊严，教育和引导学生时刻谨记“饮其流者怀其源，学其成时念吾师”的古训；在工作学习、成长发展等方面建立关心关爱教师的长效机制，突出教师主体地位，营造涵养高尚师德的文化氛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rPr>
        <w:sectPr>
          <w:pgSz w:w="11906" w:h="16838"/>
          <w:pgMar w:top="1440" w:right="1800" w:bottom="1440" w:left="1800" w:header="851" w:footer="992" w:gutter="0"/>
          <w:pgNumType w:fmt="decimal"/>
          <w:cols w:space="425" w:num="1"/>
          <w:docGrid w:type="lines" w:linePitch="312" w:charSpace="0"/>
        </w:sectPr>
      </w:pPr>
    </w:p>
    <w:p>
      <w:pPr>
        <w:pStyle w:val="2"/>
        <w:bidi w:val="0"/>
        <w:rPr>
          <w:rFonts w:hint="default"/>
        </w:rPr>
      </w:pPr>
      <w:bookmarkStart w:id="9" w:name="_Toc72172299"/>
      <w:bookmarkStart w:id="10" w:name="_Toc23871"/>
      <w:r>
        <w:t>大家手笔：师德与师能齐抓共进</w:t>
      </w:r>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rPr>
      </w:pPr>
      <w:r>
        <w:rPr>
          <w:rFonts w:hint="eastAsia" w:ascii="宋体" w:hAnsi="宋体"/>
        </w:rPr>
        <w:t>2018-11-04 来源：人民网－人民日报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我国有近1627万专任教师，他们躬耕于51万多所学校和幼儿园，支撑起拥有2.7亿在校学生的世界上最庞大最复杂的教育体系，肩负着塑造灵魂、塑造生命、塑造人的时代重任。这支宏大的教师队伍朝气蓬勃、充满活力，中青年教师是这支队伍的主体，年轻是其显著特征。根据2017年的统计，普通高校、中小学教师中45岁以下的教师分别占69.8%和70.5%。当前，这支年轻的教师队伍正处在职业发展的关键期。抓住职业发展关键期，让青年教师尽快成长起来，是我国教育的希望所在。抓好这个职业发展关键期，就要坚持师德与师能齐抓共进。</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师德，是教师职业发展的决定性因素。古之师，把传道放在首位。今之师，肩负着培养德智体美劳全面发展的社会主义建设者和接班人的重任。要从肩负的使命、岗位的职责出发看待教师队伍的师德和素养。在学生眼里，教师的言和行都是可以学习的，所谓“吐辞为经，举足为法”。习近平同志一再要求教师做到有理想信念、有道德情操、有扎实学识、有仁爱之心，这就要求教师必须做到师德高尚。师德高尚的基础是对学生有仁爱之心，没有一颗仁爱之心，就不可能尽到教书育人的责任，不可能成为好老师。正因为如此，师德也是教师职业发展的恒久动力。每个教师都要从担任教师的第一天起自觉锤炼、身体力行，执着于教书育人，有热爱教育的定力、淡泊名利的坚守，在职业发展关键期更要“正冠系扣”、培育品格、提高修养，自觉做到以德立身、以德立学、以德施教。</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师能，是教师职业发展的基本要素。扎实的知识功底、过硬的教学能力、科学的教学方法，是教师胜任工作的必要条件。现在，教师队伍执教能力不足的问题还比较突出。教学内容偏旧、教学方法偏死成为顽瘴痼疾；教师的认识能力、表达能力、沟通能力、组织能力等教学基本能力有待提高。这固然有多方面的原因，比如，科技突飞猛进的发展使学习的内容大大丰富，信息时代的到来改变着传统的教学模式，学校教育跟不上经济发展和社会进步的步伐，等等。但教师队伍自身的弱点是主要原因，比如，由于相对年轻，知识储备、实践经验、社会经验不足，与发展高质量教育的要求不相适应。抓住教师职业发展关键期，着力提高教师执教能力，是全面提高教育质量、加快教育现代化的关键。提高师能，需要多措并举。当前，最重要最有效的是开展有组织有计划的系统培训。这种培训，应当贯穿教师职业发展全过程，在教师职业发展的不同阶段开展与之相适应的培训；应当与业务工作紧密结合，特别是与课程教学相结合；应当针对教师能力的“短板”，满足教师进步的需要。</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师德与师能必须齐抓共进。只抓师能提高，忽视师德建设，教师就有可能迷失方向；只讲师德建设，不抓师能提高，教师就不能适应科技进步的大潮和教育现代化的大势。学生心目中的好老师，大凡都是师德高尚、师能高强的老师。只有坚持师德与师能齐抓共进，才能培养更多的好老师。</w:t>
      </w:r>
    </w:p>
    <w:p>
      <w:pPr>
        <w:pStyle w:val="9"/>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both"/>
        <w:textAlignment w:val="auto"/>
      </w:pPr>
      <w:r>
        <w:rPr>
          <w:rFonts w:hint="eastAsia" w:ascii="宋体" w:hAnsi="宋体"/>
        </w:rPr>
        <w:t>强调师德与师能齐抓共进，是对教师的一种严格要求。这种严格要求源于教师职业的特殊重要地位。教师承担着国家使命和公共教育服务的职责，教师职业具有很强的社会公共属性。同时要认识到，只有严爱相济才能更好促进教师成长。因此，在对教师严格要求的同时，更要关心爱护教师。要按照习近平同志在全国教育大会上提出的要求，努力提高教师的政治地位、社会地位、职业地位，让广大教师享有应有的社会声望，让教师成为令人羡慕的职业。教师工作和生活中遇到的一些问题，解决起来难度不小，但是办法总比困难多。全党全社会要弘扬尊师重教的社会风尚，使广大教师更加敬业乐业，安心从教、热心从教，为发展教育事业、建设教育强国而努力奉献和奋斗。（作者：瞿振元，中国高等教育学会原会长）</w:t>
      </w:r>
      <w:bookmarkEnd w:id="3"/>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5021279"/>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935021279"/>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14CA149A"/>
    <w:rsid w:val="00010B85"/>
    <w:rsid w:val="000238D1"/>
    <w:rsid w:val="0002705E"/>
    <w:rsid w:val="000605A1"/>
    <w:rsid w:val="00083246"/>
    <w:rsid w:val="00137E4B"/>
    <w:rsid w:val="001854F4"/>
    <w:rsid w:val="00262B30"/>
    <w:rsid w:val="002C190A"/>
    <w:rsid w:val="0030078C"/>
    <w:rsid w:val="00365963"/>
    <w:rsid w:val="003A466E"/>
    <w:rsid w:val="00444484"/>
    <w:rsid w:val="0047287A"/>
    <w:rsid w:val="004B4506"/>
    <w:rsid w:val="004B6950"/>
    <w:rsid w:val="004D0825"/>
    <w:rsid w:val="005334AE"/>
    <w:rsid w:val="005A3291"/>
    <w:rsid w:val="0075567F"/>
    <w:rsid w:val="007F5F0E"/>
    <w:rsid w:val="008477E7"/>
    <w:rsid w:val="00916715"/>
    <w:rsid w:val="00956980"/>
    <w:rsid w:val="009D6BB2"/>
    <w:rsid w:val="009F0B77"/>
    <w:rsid w:val="00A064FA"/>
    <w:rsid w:val="00A164F3"/>
    <w:rsid w:val="00BA04FC"/>
    <w:rsid w:val="00BC5069"/>
    <w:rsid w:val="00C36855"/>
    <w:rsid w:val="00C55305"/>
    <w:rsid w:val="00C81A5A"/>
    <w:rsid w:val="00CF32B5"/>
    <w:rsid w:val="00D843C6"/>
    <w:rsid w:val="00E17389"/>
    <w:rsid w:val="00E231B9"/>
    <w:rsid w:val="00E94943"/>
    <w:rsid w:val="00EB3940"/>
    <w:rsid w:val="00EC2BBE"/>
    <w:rsid w:val="00F312D2"/>
    <w:rsid w:val="058B5A29"/>
    <w:rsid w:val="0A59555C"/>
    <w:rsid w:val="0A6D0F75"/>
    <w:rsid w:val="0B193053"/>
    <w:rsid w:val="0B993EA9"/>
    <w:rsid w:val="0C9855BC"/>
    <w:rsid w:val="103324BE"/>
    <w:rsid w:val="106D413B"/>
    <w:rsid w:val="139F6767"/>
    <w:rsid w:val="14CA149A"/>
    <w:rsid w:val="188812AC"/>
    <w:rsid w:val="19D332DC"/>
    <w:rsid w:val="1F386B02"/>
    <w:rsid w:val="20732698"/>
    <w:rsid w:val="20AD7A7F"/>
    <w:rsid w:val="24F61F59"/>
    <w:rsid w:val="252B4236"/>
    <w:rsid w:val="28EE56CD"/>
    <w:rsid w:val="29B843F8"/>
    <w:rsid w:val="2A433FB6"/>
    <w:rsid w:val="2A7E60B6"/>
    <w:rsid w:val="2B033954"/>
    <w:rsid w:val="32795613"/>
    <w:rsid w:val="32D2179A"/>
    <w:rsid w:val="3338434A"/>
    <w:rsid w:val="357D2D68"/>
    <w:rsid w:val="36587A02"/>
    <w:rsid w:val="36943002"/>
    <w:rsid w:val="372225AD"/>
    <w:rsid w:val="38384A3E"/>
    <w:rsid w:val="39E7688E"/>
    <w:rsid w:val="41734EE8"/>
    <w:rsid w:val="42DD5909"/>
    <w:rsid w:val="439F7F6A"/>
    <w:rsid w:val="44A25297"/>
    <w:rsid w:val="44D07056"/>
    <w:rsid w:val="45F0727B"/>
    <w:rsid w:val="479F6F0E"/>
    <w:rsid w:val="4CEA6F54"/>
    <w:rsid w:val="4E277663"/>
    <w:rsid w:val="4F6B552C"/>
    <w:rsid w:val="4FEF7F8A"/>
    <w:rsid w:val="52F80FA5"/>
    <w:rsid w:val="530630EF"/>
    <w:rsid w:val="53080CFD"/>
    <w:rsid w:val="55C0312D"/>
    <w:rsid w:val="56DF796D"/>
    <w:rsid w:val="59230F4B"/>
    <w:rsid w:val="5A2278FD"/>
    <w:rsid w:val="5E1523B5"/>
    <w:rsid w:val="5F6C7669"/>
    <w:rsid w:val="5FBF7C65"/>
    <w:rsid w:val="611E544D"/>
    <w:rsid w:val="64377AF3"/>
    <w:rsid w:val="67D7322D"/>
    <w:rsid w:val="67E33A8E"/>
    <w:rsid w:val="69E36DC0"/>
    <w:rsid w:val="6A627CBC"/>
    <w:rsid w:val="6A6F6540"/>
    <w:rsid w:val="70BB5999"/>
    <w:rsid w:val="70D85EB7"/>
    <w:rsid w:val="729319DB"/>
    <w:rsid w:val="72FE4E26"/>
    <w:rsid w:val="78622B1C"/>
    <w:rsid w:val="7A2409FD"/>
    <w:rsid w:val="7B4509B7"/>
    <w:rsid w:val="7DC67AC3"/>
    <w:rsid w:val="7E345DC7"/>
    <w:rsid w:val="7E99396F"/>
    <w:rsid w:val="7F7812EE"/>
    <w:rsid w:val="7FBA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42" w:firstLineChars="200"/>
    </w:pPr>
    <w:rPr>
      <w:rFonts w:eastAsia="宋体" w:asciiTheme="minorHAnsi" w:hAnsiTheme="minorHAnsi" w:cstheme="minorBidi"/>
      <w:kern w:val="2"/>
      <w:sz w:val="24"/>
      <w:szCs w:val="24"/>
      <w:lang w:val="en-US" w:eastAsia="zh-CN" w:bidi="ar-SA"/>
    </w:rPr>
  </w:style>
  <w:style w:type="paragraph" w:styleId="2">
    <w:name w:val="heading 1"/>
    <w:basedOn w:val="1"/>
    <w:next w:val="1"/>
    <w:link w:val="30"/>
    <w:qFormat/>
    <w:uiPriority w:val="0"/>
    <w:pPr>
      <w:jc w:val="center"/>
      <w:outlineLvl w:val="0"/>
    </w:pPr>
    <w:rPr>
      <w:rFonts w:hint="eastAsia" w:ascii="宋体" w:hAnsi="宋体" w:cs="Times New Roman"/>
      <w:b/>
      <w:kern w:val="44"/>
      <w:sz w:val="28"/>
      <w:szCs w:val="48"/>
    </w:rPr>
  </w:style>
  <w:style w:type="paragraph" w:styleId="3">
    <w:name w:val="heading 2"/>
    <w:basedOn w:val="1"/>
    <w:next w:val="1"/>
    <w:unhideWhenUsed/>
    <w:qFormat/>
    <w:uiPriority w:val="0"/>
    <w:pPr>
      <w:spacing w:beforeAutospacing="1" w:afterAutospacing="1"/>
      <w:outlineLvl w:val="1"/>
    </w:pPr>
    <w:rPr>
      <w:rFonts w:hint="eastAsia" w:ascii="宋体" w:hAnsi="宋体" w:cs="Times New Roman"/>
      <w:b/>
      <w:kern w:val="0"/>
      <w:sz w:val="36"/>
      <w:szCs w:val="36"/>
    </w:rPr>
  </w:style>
  <w:style w:type="paragraph" w:styleId="4">
    <w:name w:val="heading 4"/>
    <w:basedOn w:val="1"/>
    <w:next w:val="1"/>
    <w:semiHidden/>
    <w:unhideWhenUsed/>
    <w:qFormat/>
    <w:uiPriority w:val="0"/>
    <w:pPr>
      <w:spacing w:beforeAutospacing="1" w:afterAutospacing="1"/>
      <w:outlineLvl w:val="3"/>
    </w:pPr>
    <w:rPr>
      <w:rFonts w:hint="eastAsia" w:ascii="宋体" w:hAnsi="宋体" w:cs="Times New Roman"/>
      <w:b/>
      <w:kern w:val="0"/>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footer"/>
    <w:basedOn w:val="1"/>
    <w:link w:val="28"/>
    <w:qFormat/>
    <w:uiPriority w:val="99"/>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qFormat/>
    <w:uiPriority w:val="0"/>
    <w:pPr>
      <w:spacing w:beforeAutospacing="1" w:afterAutospacing="1"/>
    </w:pPr>
    <w:rPr>
      <w:rFonts w:cs="Times New Roman"/>
      <w:kern w:val="0"/>
    </w:rPr>
  </w:style>
  <w:style w:type="character" w:styleId="12">
    <w:name w:val="Strong"/>
    <w:basedOn w:val="11"/>
    <w:qFormat/>
    <w:uiPriority w:val="0"/>
    <w:rPr>
      <w:b/>
      <w:bCs/>
    </w:rPr>
  </w:style>
  <w:style w:type="character" w:styleId="13">
    <w:name w:val="FollowedHyperlink"/>
    <w:basedOn w:val="11"/>
    <w:qFormat/>
    <w:uiPriority w:val="0"/>
    <w:rPr>
      <w:color w:val="0F0F0F"/>
      <w:u w:val="none"/>
    </w:rPr>
  </w:style>
  <w:style w:type="character" w:styleId="14">
    <w:name w:val="Emphasis"/>
    <w:basedOn w:val="11"/>
    <w:qFormat/>
    <w:uiPriority w:val="0"/>
  </w:style>
  <w:style w:type="character" w:styleId="15">
    <w:name w:val="HTML Definition"/>
    <w:basedOn w:val="11"/>
    <w:qFormat/>
    <w:uiPriority w:val="0"/>
    <w:rPr>
      <w:b/>
      <w:i/>
      <w:color w:val="FFFFFF"/>
      <w:sz w:val="18"/>
      <w:szCs w:val="18"/>
      <w:shd w:val="clear" w:color="auto" w:fill="777777"/>
    </w:rPr>
  </w:style>
  <w:style w:type="character" w:styleId="16">
    <w:name w:val="Hyperlink"/>
    <w:basedOn w:val="11"/>
    <w:qFormat/>
    <w:uiPriority w:val="99"/>
    <w:rPr>
      <w:color w:val="0000FF"/>
      <w:u w:val="single"/>
    </w:rPr>
  </w:style>
  <w:style w:type="character" w:styleId="17">
    <w:name w:val="HTML Code"/>
    <w:basedOn w:val="11"/>
    <w:qFormat/>
    <w:uiPriority w:val="0"/>
    <w:rPr>
      <w:rFonts w:hint="default" w:ascii="Consolas" w:hAnsi="Consolas" w:eastAsia="Consolas" w:cs="Consolas"/>
      <w:color w:val="C7254E"/>
      <w:sz w:val="21"/>
      <w:szCs w:val="21"/>
      <w:shd w:val="clear" w:color="auto" w:fill="F9F2F4"/>
    </w:rPr>
  </w:style>
  <w:style w:type="character" w:styleId="18">
    <w:name w:val="HTML Keyboard"/>
    <w:basedOn w:val="11"/>
    <w:qFormat/>
    <w:uiPriority w:val="0"/>
    <w:rPr>
      <w:rFonts w:hint="default" w:ascii="Consolas" w:hAnsi="Consolas" w:eastAsia="Consolas" w:cs="Consolas"/>
      <w:color w:val="FFFFFF"/>
      <w:sz w:val="21"/>
      <w:szCs w:val="21"/>
      <w:shd w:val="clear" w:color="auto" w:fill="333333"/>
    </w:rPr>
  </w:style>
  <w:style w:type="character" w:styleId="19">
    <w:name w:val="HTML Sample"/>
    <w:basedOn w:val="11"/>
    <w:qFormat/>
    <w:uiPriority w:val="0"/>
    <w:rPr>
      <w:rFonts w:ascii="Consolas" w:hAnsi="Consolas" w:eastAsia="Consolas" w:cs="Consolas"/>
      <w:sz w:val="21"/>
      <w:szCs w:val="21"/>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2">
    <w:name w:val="one"/>
    <w:basedOn w:val="11"/>
    <w:qFormat/>
    <w:uiPriority w:val="0"/>
    <w:rPr>
      <w:color w:val="003366"/>
    </w:rPr>
  </w:style>
  <w:style w:type="character" w:customStyle="1" w:styleId="23">
    <w:name w:val="item-name"/>
    <w:basedOn w:val="11"/>
    <w:qFormat/>
    <w:uiPriority w:val="0"/>
  </w:style>
  <w:style w:type="character" w:customStyle="1" w:styleId="24">
    <w:name w:val="item-name1"/>
    <w:basedOn w:val="11"/>
    <w:qFormat/>
    <w:uiPriority w:val="0"/>
  </w:style>
  <w:style w:type="character" w:customStyle="1" w:styleId="25">
    <w:name w:val="on"/>
    <w:basedOn w:val="11"/>
    <w:qFormat/>
    <w:uiPriority w:val="0"/>
    <w:rPr>
      <w:shd w:val="clear" w:color="auto" w:fill="FFFFFF"/>
    </w:rPr>
  </w:style>
  <w:style w:type="paragraph" w:customStyle="1" w:styleId="26">
    <w:name w:val="_Style 25"/>
    <w:basedOn w:val="1"/>
    <w:next w:val="1"/>
    <w:qFormat/>
    <w:uiPriority w:val="0"/>
    <w:pPr>
      <w:pBdr>
        <w:bottom w:val="single" w:color="auto" w:sz="6" w:space="1"/>
      </w:pBdr>
      <w:jc w:val="center"/>
    </w:pPr>
    <w:rPr>
      <w:rFonts w:ascii="Arial"/>
      <w:vanish/>
      <w:sz w:val="16"/>
    </w:rPr>
  </w:style>
  <w:style w:type="paragraph" w:customStyle="1" w:styleId="27">
    <w:name w:val="_Style 26"/>
    <w:basedOn w:val="1"/>
    <w:next w:val="1"/>
    <w:qFormat/>
    <w:uiPriority w:val="0"/>
    <w:pPr>
      <w:pBdr>
        <w:top w:val="single" w:color="auto" w:sz="6" w:space="1"/>
      </w:pBdr>
      <w:jc w:val="center"/>
    </w:pPr>
    <w:rPr>
      <w:rFonts w:ascii="Arial"/>
      <w:vanish/>
      <w:sz w:val="16"/>
    </w:rPr>
  </w:style>
  <w:style w:type="character" w:customStyle="1" w:styleId="28">
    <w:name w:val="页脚 字符"/>
    <w:basedOn w:val="11"/>
    <w:link w:val="5"/>
    <w:qFormat/>
    <w:uiPriority w:val="99"/>
    <w:rPr>
      <w:rFonts w:asciiTheme="minorHAnsi" w:hAnsiTheme="minorHAnsi" w:cstheme="minorBidi"/>
      <w:kern w:val="2"/>
      <w:sz w:val="18"/>
      <w:szCs w:val="24"/>
    </w:rPr>
  </w:style>
  <w:style w:type="paragraph" w:customStyle="1" w:styleId="29">
    <w:name w:val="TOC Heading"/>
    <w:basedOn w:val="2"/>
    <w:next w:val="1"/>
    <w:unhideWhenUsed/>
    <w:qFormat/>
    <w:uiPriority w:val="39"/>
    <w:pPr>
      <w:keepNext/>
      <w:keepLines/>
      <w:widowControl/>
      <w:spacing w:before="240" w:line="259" w:lineRule="auto"/>
      <w:ind w:firstLine="0" w:firstLineChars="0"/>
      <w:jc w:val="left"/>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30">
    <w:name w:val="标题 1 Char"/>
    <w:link w:val="2"/>
    <w:uiPriority w:val="0"/>
    <w:rPr>
      <w:rFonts w:hint="eastAsia" w:ascii="宋体" w:hAnsi="宋体" w:cs="Times New Roman"/>
      <w:b/>
      <w:kern w:val="44"/>
      <w:sz w:val="28"/>
      <w:szCs w:val="4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9FCAF-A3A4-46C7-8F30-50AEBB7252C7}">
  <ds:schemaRefs/>
</ds:datastoreItem>
</file>

<file path=docProps/app.xml><?xml version="1.0" encoding="utf-8"?>
<Properties xmlns="http://schemas.openxmlformats.org/officeDocument/2006/extended-properties" xmlns:vt="http://schemas.openxmlformats.org/officeDocument/2006/docPropsVTypes">
  <Template>Normal</Template>
  <Pages>15</Pages>
  <Words>9955</Words>
  <Characters>10061</Characters>
  <Lines>61</Lines>
  <Paragraphs>17</Paragraphs>
  <TotalTime>2</TotalTime>
  <ScaleCrop>false</ScaleCrop>
  <LinksUpToDate>false</LinksUpToDate>
  <CharactersWithSpaces>10085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2020-10-03T09:27:00Z</dcterms:created>
  <dc:creator>asus</dc:creator>
  <cp:lastModifiedBy>WWY</cp:lastModifiedBy>
  <dcterms:modified xsi:type="dcterms:W3CDTF">2022-09-06T15:31:50Z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66BBD311B8BC4EF6A550EEDF033C07CF</vt:lpwstr>
  </property>
</Properties>
</file>